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E9" w:rsidRDefault="00733AE9" w:rsidP="00EC3E79">
      <w:pPr>
        <w:shd w:val="clear" w:color="auto" w:fill="FFFFFF"/>
        <w:spacing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3B6A"/>
          <w:kern w:val="36"/>
          <w:sz w:val="48"/>
          <w:szCs w:val="48"/>
          <w:lang w:eastAsia="fr-FR"/>
        </w:rPr>
      </w:pPr>
      <w:r w:rsidRPr="004B12CA">
        <w:rPr>
          <w:noProof/>
        </w:rPr>
        <w:drawing>
          <wp:inline distT="0" distB="0" distL="0" distR="0">
            <wp:extent cx="3762375" cy="1076325"/>
            <wp:effectExtent l="0" t="0" r="9525" b="9525"/>
            <wp:docPr id="1" name="Image 1" descr="ENTETE-PRESIDENT2LOGOSE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-PRESIDENT2LOGOSE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C8" w:rsidRDefault="00FE5EC8" w:rsidP="00FE5EC8">
      <w:pPr>
        <w:shd w:val="clear" w:color="auto" w:fill="FFFFFF"/>
        <w:spacing w:before="100" w:beforeAutospacing="1" w:after="375"/>
        <w:jc w:val="center"/>
      </w:pPr>
      <w:bookmarkStart w:id="0" w:name="_Hlk68705913"/>
      <w:r>
        <w:rPr>
          <w:rFonts w:ascii="Arial" w:hAnsi="Arial" w:cs="Arial"/>
          <w:b/>
          <w:bCs/>
          <w:caps/>
          <w:color w:val="003B6A"/>
          <w:sz w:val="48"/>
          <w:szCs w:val="48"/>
        </w:rPr>
        <w:t>Appel à projets</w:t>
      </w:r>
    </w:p>
    <w:p w:rsidR="00FE5EC8" w:rsidRDefault="00FE5EC8" w:rsidP="00FE5EC8">
      <w:pPr>
        <w:shd w:val="clear" w:color="auto" w:fill="FFFFFF"/>
        <w:spacing w:before="100" w:beforeAutospacing="1" w:after="375"/>
        <w:jc w:val="center"/>
      </w:pPr>
      <w:r>
        <w:rPr>
          <w:rFonts w:ascii="Arial" w:hAnsi="Arial" w:cs="Arial"/>
          <w:b/>
          <w:bCs/>
          <w:caps/>
          <w:color w:val="003B6A"/>
          <w:sz w:val="48"/>
          <w:szCs w:val="48"/>
        </w:rPr>
        <w:t>"</w:t>
      </w:r>
      <w:proofErr w:type="spellStart"/>
      <w:r>
        <w:rPr>
          <w:rFonts w:ascii="Arial" w:hAnsi="Arial" w:cs="Arial"/>
          <w:b/>
          <w:bCs/>
          <w:caps/>
          <w:color w:val="003B6A"/>
          <w:sz w:val="48"/>
          <w:szCs w:val="48"/>
        </w:rPr>
        <w:t>C</w:t>
      </w:r>
      <w:r w:rsidR="00F42F7E">
        <w:rPr>
          <w:rFonts w:ascii="Arial" w:hAnsi="Arial" w:cs="Arial"/>
          <w:b/>
          <w:bCs/>
          <w:color w:val="003B6A"/>
          <w:sz w:val="48"/>
          <w:szCs w:val="48"/>
        </w:rPr>
        <w:t>opSanté</w:t>
      </w:r>
      <w:proofErr w:type="spellEnd"/>
      <w:r>
        <w:rPr>
          <w:rFonts w:ascii="Arial" w:hAnsi="Arial" w:cs="Arial"/>
          <w:b/>
          <w:bCs/>
          <w:caps/>
          <w:color w:val="003B6A"/>
          <w:sz w:val="48"/>
          <w:szCs w:val="48"/>
        </w:rPr>
        <w:t>"</w:t>
      </w:r>
    </w:p>
    <w:p w:rsidR="00FE5EC8" w:rsidRDefault="00FE5EC8" w:rsidP="00FE5EC8">
      <w:pPr>
        <w:shd w:val="clear" w:color="auto" w:fill="FFFFFF"/>
        <w:spacing w:after="300" w:line="240" w:lineRule="auto"/>
        <w:jc w:val="center"/>
        <w:rPr>
          <w:rFonts w:ascii="Arial" w:hAnsi="Arial" w:cs="Arial"/>
          <w:b/>
          <w:bCs/>
          <w:caps/>
          <w:color w:val="003B6A"/>
          <w:sz w:val="48"/>
          <w:szCs w:val="48"/>
        </w:rPr>
      </w:pPr>
      <w:r>
        <w:rPr>
          <w:rFonts w:ascii="Arial" w:hAnsi="Arial" w:cs="Arial"/>
          <w:b/>
          <w:bCs/>
          <w:caps/>
          <w:color w:val="003B6A"/>
          <w:sz w:val="48"/>
          <w:szCs w:val="48"/>
        </w:rPr>
        <w:t>Santé résiliente et durable face aux crises</w:t>
      </w:r>
    </w:p>
    <w:bookmarkEnd w:id="0"/>
    <w:p w:rsidR="00D77817" w:rsidRPr="00D77817" w:rsidRDefault="00D77817" w:rsidP="00FE5EC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63746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Face à la crise sanitaire liée à la Covid-19, d’une ampleur inégalée, la Région Provence-Alpes-Côte d’Azur s’est rapidement mobilisée afin de soutenir l’ensemble des acteurs du territoire régional touchés par la crise.</w:t>
      </w:r>
      <w:r w:rsidR="00F24C6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Toutefois, comme cette crise est une crise globale, elle appelle aussi des solutions au niveau international. Ainsi, la Région Provence-Alpes-Côte d’Azur a souhaité favoriser des coopérations avec ses principaux partenaires internationaux afin de mettre en place des réponses communes face à la crise, au niveau transfrontalier, européen ou méditerranéen. </w:t>
      </w:r>
    </w:p>
    <w:p w:rsidR="00F24C6F" w:rsidRDefault="00D77817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A cette fin, la Région Provence-Alpes-Côte d’Azur a consacré la 4ème édition de l’évènement « Méditerranée du Futur » au thème de la santé et de la lutte contre les pandémies, sous le titre « 1720-2020 : De la peste à la Covid-19, 300 ans de résistance aux pandémies en Méditerranée ». Cette 4ème édition, tenue le 1er décembre 2020 à Marseille et organisée en partenariat avec l’Institut Hospitalo-Universitaire Méditerranée Infection, a été un grand succès et a réuni, principalement à distance, plus de 10 000 participants. </w:t>
      </w:r>
    </w:p>
    <w:p w:rsidR="00D77817" w:rsidRPr="00D77817" w:rsidRDefault="00D77817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Elle a permis de réunir des personnalités de haut niveau du monde politique, académique et de la société civile qui ont </w:t>
      </w:r>
      <w:r w:rsidR="00A5724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échangé</w:t>
      </w: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sur les expériences, propres à l’espace méditerranéen, de résistance face aux grandes pandémies. </w:t>
      </w:r>
      <w:r w:rsidR="00A5724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</w:t>
      </w: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u fait de l’importance des échanges et de la circulation des hommes et des marchandises au travers de son histoire, l’espace méditerranéen a toujours été particulièrement exposé aux grandes </w:t>
      </w:r>
      <w:r w:rsidR="00A5724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épidémies</w:t>
      </w: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et a donc été un lieu privilégié de réflexions et d’expérimentations sur les actions à mettre en œuvre pour y faire face.  </w:t>
      </w:r>
    </w:p>
    <w:p w:rsidR="0047448C" w:rsidRDefault="00D77817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  <w:r w:rsidRPr="0047448C">
        <w:rPr>
          <w:rFonts w:ascii="Arial" w:eastAsia="Times New Roman" w:hAnsi="Arial" w:cs="Arial"/>
          <w:color w:val="000000"/>
          <w:sz w:val="26"/>
          <w:szCs w:val="26"/>
          <w:lang w:eastAsia="fr-FR"/>
        </w:rPr>
        <w:lastRenderedPageBreak/>
        <w:t>Après ce temps de réflexion et d’échanges, la Région Provence-Alpes-Côte d’Azur souhaite favoriser la mise en œuvre concrète des propositions et pistes de travail évoquées lors de cette rencontre.</w:t>
      </w:r>
      <w:r w:rsidR="0047448C" w:rsidRPr="0047448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</w:t>
      </w:r>
    </w:p>
    <w:p w:rsidR="00A57248" w:rsidRDefault="00D77817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  <w:r w:rsidRP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Ainsi, </w:t>
      </w:r>
      <w:r w:rsid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après le succès des </w:t>
      </w:r>
      <w:r w:rsidR="0047448C" w:rsidRP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appels à projets organisés </w:t>
      </w:r>
      <w:r w:rsid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à l’issue des précédentes</w:t>
      </w:r>
      <w:r w:rsidR="0047448C" w:rsidRP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P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édition</w:t>
      </w:r>
      <w:r w:rsid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s</w:t>
      </w:r>
      <w:r w:rsidRP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de Méditerranée du Futur</w:t>
      </w:r>
      <w:r w:rsidR="0047448C" w:rsidRP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(appels à projets CLIMAAT, PRIJIM et 3</w:t>
      </w:r>
      <w:r w:rsidR="0047448C" w:rsidRPr="005D3B29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fr-FR"/>
        </w:rPr>
        <w:t>E</w:t>
      </w:r>
      <w:r w:rsidR="0047448C" w:rsidRP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en 2018, 2019 et 2020)</w:t>
      </w:r>
      <w:r w:rsidRPr="005D3B2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</w:t>
      </w:r>
      <w:r w:rsidRPr="0047448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la Région Provence-Alpes-Côte d’Azur </w:t>
      </w:r>
      <w:r w:rsidR="0047448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lance</w:t>
      </w:r>
      <w:r w:rsidRPr="0047448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un </w:t>
      </w:r>
      <w:r w:rsidR="003C6B60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nouvel </w:t>
      </w:r>
      <w:r w:rsidRPr="0047448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appel à projets</w:t>
      </w:r>
      <w:r w:rsidR="005D3B2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afin de</w:t>
      </w:r>
      <w:r w:rsidRPr="0047448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soutenir des projets de coopération internationale</w:t>
      </w:r>
      <w:r w:rsidR="0047448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</w:t>
      </w:r>
      <w:r w:rsidR="005D3B2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apportant des réponses aux enjeux </w:t>
      </w:r>
      <w:r w:rsidR="00467131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posés par</w:t>
      </w:r>
      <w:r w:rsidR="005D3B2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la crise sanitaire actuelle</w:t>
      </w:r>
      <w:r w:rsidRPr="0047448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.</w:t>
      </w:r>
      <w:r w:rsidR="0047448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</w:t>
      </w:r>
    </w:p>
    <w:p w:rsidR="00D77817" w:rsidRPr="00D77817" w:rsidRDefault="00D77817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Cet appel à projets </w:t>
      </w:r>
      <w:r w:rsidR="003C6B6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a </w:t>
      </w:r>
      <w:r w:rsidR="0053189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pour objectif</w:t>
      </w:r>
      <w:r w:rsidR="003C6B6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de</w:t>
      </w: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faire émerger des projets portant sur la </w:t>
      </w:r>
      <w:r w:rsidRPr="001652A8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résilience des systèmes de soins et la protection des populations </w:t>
      </w:r>
      <w:r w:rsidR="00467131" w:rsidRPr="001652A8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afin de faire face aux crises sanitaires</w:t>
      </w:r>
      <w:r w:rsidR="0046713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comme celle de la Covid-19</w:t>
      </w: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 Par ailleurs, dans la mesure où la crise sanitaire</w:t>
      </w:r>
      <w:r w:rsidR="0046713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en cours</w:t>
      </w: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doit conduire à une réflexion plus globale sur nos modèles de développement, </w:t>
      </w:r>
      <w:r w:rsidRPr="001652A8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il soutiendra également des projets visant une amélioration de la santé face aux enjeux environnementaux et climatiques</w:t>
      </w:r>
      <w:r w:rsidR="0053189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, en cohérence avec </w:t>
      </w:r>
      <w:r w:rsidR="0046713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la </w:t>
      </w: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stratégie</w:t>
      </w:r>
      <w:r w:rsidR="0046713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régionale</w:t>
      </w: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de coopération euro-méditerranéenne qui place la lutte contre le changement climatique</w:t>
      </w:r>
      <w:r w:rsidR="00467131" w:rsidRPr="0046713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467131"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au cœur de son action</w:t>
      </w:r>
      <w:r w:rsidR="003551C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, et plus globalement avec le Plan climat de la Région </w:t>
      </w:r>
      <w:r w:rsidR="00DF2A09"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Provence-Alpes-Côte d’Azur </w:t>
      </w:r>
      <w:r w:rsidR="003551C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« Une Cop d’avance », adopté en 2017, dont l’axe 5 porte sur le bien-être et la santé.</w:t>
      </w:r>
      <w:r w:rsidR="009A5144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La crise sanitaire actuelle nous enseigne en effet qu’il convient d’agir sur l’ensemble de nos écosystèmes et de mieux </w:t>
      </w:r>
      <w:r w:rsidR="0053189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prendre en compte</w:t>
      </w:r>
      <w:r w:rsidR="009A5144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53189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l’impact sanitaire</w:t>
      </w:r>
      <w:r w:rsidR="009A5144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des facteurs environnementaux. </w:t>
      </w:r>
    </w:p>
    <w:p w:rsidR="00D77817" w:rsidRPr="00D77817" w:rsidRDefault="00D77817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D7781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Les projets devront être menés dans les territoires de coopération de la Région Provence-Alpes-Côte d’Azur et être portés par des opérateurs régionaux. </w:t>
      </w:r>
    </w:p>
    <w:p w:rsidR="0047448C" w:rsidRPr="00E52468" w:rsidRDefault="0047448C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Objectif </w:t>
      </w:r>
    </w:p>
    <w:p w:rsidR="00EC3E79" w:rsidRDefault="00DE5D8F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</w:t>
      </w:r>
      <w:r w:rsidR="00EC3E79" w:rsidRPr="00EC3E7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es projets devront répondre à un ou plusieurs objectifs spécifiques suivants : </w:t>
      </w:r>
    </w:p>
    <w:p w:rsidR="00B612F0" w:rsidRPr="00A45F95" w:rsidRDefault="00A45F95" w:rsidP="00DE5D8F">
      <w:pPr>
        <w:pStyle w:val="Paragraphedeliste"/>
        <w:numPr>
          <w:ilvl w:val="0"/>
          <w:numId w:val="8"/>
        </w:numPr>
        <w:shd w:val="clear" w:color="auto" w:fill="FFFFFF"/>
        <w:spacing w:after="300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</w:pPr>
      <w:r w:rsidRPr="00A45F95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>Renforcer la coopération technique et scientifique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 xml:space="preserve"> pour une meilleure</w:t>
      </w:r>
      <w:r w:rsidRPr="00A45F95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 xml:space="preserve"> résilience des systèmes de soins face à la crise de la Covid-19 et aux risques futurs </w:t>
      </w:r>
    </w:p>
    <w:p w:rsidR="003D13FB" w:rsidRDefault="00DE5D8F" w:rsidP="00DE5D8F">
      <w:pPr>
        <w:shd w:val="clear" w:color="auto" w:fill="FFFFFF"/>
        <w:spacing w:before="100" w:beforeAutospacing="1" w:after="150" w:line="240" w:lineRule="auto"/>
        <w:ind w:left="851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1.1. </w:t>
      </w:r>
      <w:r w:rsidR="001652A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Développer</w:t>
      </w:r>
      <w:r w:rsidR="007F0C0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un réseau de </w:t>
      </w:r>
      <w:r w:rsidR="00A630EC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veille sanitaire</w:t>
      </w:r>
      <w:r w:rsidR="00E14FA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1652A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et de</w:t>
      </w:r>
      <w:r w:rsidR="00E14FA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surveillance épidémiologique</w:t>
      </w:r>
      <w:r w:rsidR="00A630EC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FF573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(constitution de réseaux multipartenaires regroupant des centres de recherche et de soins, mise en place d’observatoires de surveillance épidémiologique...)</w:t>
      </w:r>
    </w:p>
    <w:p w:rsidR="003D13FB" w:rsidRDefault="00DE5D8F" w:rsidP="00DE5D8F">
      <w:pPr>
        <w:shd w:val="clear" w:color="auto" w:fill="FFFFFF"/>
        <w:spacing w:before="100" w:beforeAutospacing="1" w:after="150" w:line="240" w:lineRule="auto"/>
        <w:ind w:left="851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1.2. </w:t>
      </w:r>
      <w:r w:rsidR="001652A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Renforcer la coopération en matière de recherche épidémiologique</w:t>
      </w:r>
      <w:r w:rsidR="00B612F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(</w:t>
      </w:r>
      <w:r w:rsidR="0084105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partage de connaissances, </w:t>
      </w:r>
      <w:r w:rsidR="003D13F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échange</w:t>
      </w:r>
      <w:r w:rsidR="001652A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et </w:t>
      </w:r>
      <w:r w:rsidR="003D13F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séquençage de souches</w:t>
      </w:r>
      <w:r w:rsidR="00B612F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…)</w:t>
      </w:r>
    </w:p>
    <w:p w:rsidR="00B612F0" w:rsidRDefault="00DE5D8F" w:rsidP="00DE5D8F">
      <w:pPr>
        <w:shd w:val="clear" w:color="auto" w:fill="FFFFFF"/>
        <w:spacing w:before="100" w:beforeAutospacing="1" w:after="150" w:line="240" w:lineRule="auto"/>
        <w:ind w:left="851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lastRenderedPageBreak/>
        <w:t>1.3</w:t>
      </w:r>
      <w:r w:rsidR="0084105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B612F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Renforcer les capacités de </w:t>
      </w:r>
      <w:r w:rsidR="000839E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diagnostic et de prévention</w:t>
      </w:r>
      <w:r w:rsidR="001652A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des systèmes de santé</w:t>
      </w:r>
      <w:r w:rsidR="000839E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face aux crises sanitaires</w:t>
      </w:r>
      <w:r w:rsidR="00FF573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(</w:t>
      </w:r>
      <w:r w:rsidR="0084105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transfert de compétences, renforcement des stratégies de dépistage…)</w:t>
      </w:r>
    </w:p>
    <w:p w:rsidR="000839EA" w:rsidRDefault="00DE5D8F" w:rsidP="00DE5D8F">
      <w:pPr>
        <w:shd w:val="clear" w:color="auto" w:fill="FFFFFF"/>
        <w:spacing w:before="100" w:beforeAutospacing="1" w:after="150" w:line="240" w:lineRule="auto"/>
        <w:ind w:left="851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1.4. </w:t>
      </w:r>
      <w:r w:rsidR="000839E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Améliorer la prise en charge et la qualité </w:t>
      </w:r>
      <w:r w:rsid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des systèmes de soins</w:t>
      </w:r>
      <w:r w:rsidR="00FF573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(</w:t>
      </w:r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apport d’expertise</w:t>
      </w:r>
      <w:r w:rsidR="00FF573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sur </w:t>
      </w:r>
      <w:r w:rsidR="00F24C6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</w:t>
      </w:r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parcours de soins et </w:t>
      </w:r>
      <w:r w:rsidR="00FF573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la prise en charge, structuration d’un réseau </w:t>
      </w:r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de</w:t>
      </w:r>
      <w:r w:rsidR="00FF573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centres de soins…)</w:t>
      </w:r>
    </w:p>
    <w:p w:rsidR="00B612F0" w:rsidRDefault="00DE5D8F" w:rsidP="00DE5D8F">
      <w:pPr>
        <w:shd w:val="clear" w:color="auto" w:fill="FFFFFF"/>
        <w:spacing w:before="100" w:beforeAutospacing="1" w:after="150" w:line="240" w:lineRule="auto"/>
        <w:ind w:left="851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1.5. </w:t>
      </w:r>
      <w:r w:rsidR="00B612F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Mieux conserver le patrimoine des ressources et données biologiques</w:t>
      </w:r>
      <w:r w:rsidR="000839E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(</w:t>
      </w:r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</w:t>
      </w:r>
      <w:r w:rsidR="00C02EF1" w:rsidRP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réfiguration </w:t>
      </w:r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de structures de type </w:t>
      </w:r>
      <w:proofErr w:type="spellStart"/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biobanque</w:t>
      </w:r>
      <w:proofErr w:type="spellEnd"/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ou biothèque</w:t>
      </w:r>
      <w:r w:rsidR="000839E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, </w:t>
      </w:r>
      <w:r w:rsidR="00A630EC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collection de souches</w:t>
      </w:r>
      <w:r w:rsidR="000839E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…)</w:t>
      </w:r>
    </w:p>
    <w:p w:rsidR="00A45F95" w:rsidRDefault="00A45F95" w:rsidP="00DE5D8F">
      <w:pPr>
        <w:shd w:val="clear" w:color="auto" w:fill="FFFFFF"/>
        <w:spacing w:before="100" w:beforeAutospacing="1" w:after="150" w:line="240" w:lineRule="auto"/>
        <w:ind w:left="851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</w:p>
    <w:p w:rsidR="00A45F95" w:rsidRDefault="00A45F95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2. </w:t>
      </w:r>
      <w:r w:rsidRPr="00A45F95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>Protéger la santé humaine face aux risques climatiques et environnementaux</w:t>
      </w:r>
    </w:p>
    <w:p w:rsidR="003D13FB" w:rsidRPr="00A45F95" w:rsidRDefault="00A45F95" w:rsidP="00A45F95">
      <w:pPr>
        <w:shd w:val="clear" w:color="auto" w:fill="FFFFFF"/>
        <w:spacing w:before="100" w:beforeAutospacing="1" w:after="150" w:line="240" w:lineRule="auto"/>
        <w:ind w:left="993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2.1. </w:t>
      </w:r>
      <w:r w:rsidR="002828CB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Renforcer la connaissance et la sensibilisation des populations et des acteurs locaux sur </w:t>
      </w:r>
      <w:r w:rsidR="000839EA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l’impact des </w:t>
      </w:r>
      <w:r w:rsidR="002828CB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facteurs </w:t>
      </w:r>
      <w:r w:rsidR="000839EA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environnementaux sur la santé humaine </w:t>
      </w:r>
      <w:r w:rsidR="002828CB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(air, eau, déchets, risques émergents et changement climatique, alimentation, habitat, urbanisme</w:t>
      </w:r>
      <w:r w:rsidR="0084105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  <w:r w:rsidR="002828CB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..)</w:t>
      </w:r>
      <w:r w:rsidR="000839EA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</w:p>
    <w:p w:rsidR="003D13FB" w:rsidRDefault="00A45F95" w:rsidP="00A45F95">
      <w:pPr>
        <w:pStyle w:val="Paragraphedeliste"/>
        <w:numPr>
          <w:ilvl w:val="1"/>
          <w:numId w:val="10"/>
        </w:numPr>
        <w:shd w:val="clear" w:color="auto" w:fill="FFFFFF"/>
        <w:spacing w:before="100" w:beforeAutospacing="1" w:after="150" w:line="240" w:lineRule="auto"/>
        <w:ind w:left="993" w:hanging="11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826ABA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Développer</w:t>
      </w:r>
      <w:r w:rsidR="002828CB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la coopération</w:t>
      </w:r>
      <w:r w:rsidR="0084105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technique et</w:t>
      </w:r>
      <w:r w:rsidR="002828CB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scientifique en matière de santé environnementale</w:t>
      </w:r>
      <w:r w:rsidR="0051207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(</w:t>
      </w:r>
      <w:r w:rsidR="00F24C6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analyse</w:t>
      </w:r>
      <w:r w:rsidR="0051207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des risques environnementaux</w:t>
      </w:r>
      <w:r w:rsidR="007F0C06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, impact sanitaire des </w:t>
      </w:r>
      <w:r w:rsidR="0051207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facteurs climatiques et environnementaux</w:t>
      </w:r>
      <w:r w:rsidR="007F0C06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nouveaux risques infectieux.</w:t>
      </w:r>
      <w:r w:rsidR="0051207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..) </w:t>
      </w:r>
    </w:p>
    <w:p w:rsidR="00A45F95" w:rsidRPr="00A45F95" w:rsidRDefault="00A45F95" w:rsidP="00A45F95">
      <w:pPr>
        <w:pStyle w:val="Paragraphedeliste"/>
        <w:shd w:val="clear" w:color="auto" w:fill="FFFFFF"/>
        <w:spacing w:before="100" w:beforeAutospacing="1" w:after="150" w:line="240" w:lineRule="auto"/>
        <w:ind w:left="993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</w:p>
    <w:p w:rsidR="004F530F" w:rsidRDefault="00A45F95" w:rsidP="00A45F95">
      <w:pPr>
        <w:pStyle w:val="Paragraphedeliste"/>
        <w:numPr>
          <w:ilvl w:val="1"/>
          <w:numId w:val="10"/>
        </w:numPr>
        <w:shd w:val="clear" w:color="auto" w:fill="FFFFFF"/>
        <w:spacing w:before="100" w:beforeAutospacing="1" w:after="150" w:line="240" w:lineRule="auto"/>
        <w:ind w:left="993" w:hanging="11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51207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Contribuer à l’amélioration de la qualité de l’air </w:t>
      </w:r>
      <w:r w:rsidR="004F530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et à la prévention des risques sanitaires liées aux pollutions atmosphériques (réduction des émissions de polluants, </w:t>
      </w:r>
      <w:r w:rsidR="009B72E9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information</w:t>
      </w:r>
      <w:r w:rsidR="004F530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et sensibilisation sur les expositions des populations)</w:t>
      </w:r>
    </w:p>
    <w:p w:rsidR="00A45F95" w:rsidRPr="00A45F95" w:rsidRDefault="00A45F95" w:rsidP="00A45F95">
      <w:pPr>
        <w:pStyle w:val="Paragraphedeliste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</w:p>
    <w:p w:rsidR="004F530F" w:rsidRPr="00A45F95" w:rsidRDefault="00A45F95" w:rsidP="00A45F95">
      <w:pPr>
        <w:pStyle w:val="Paragraphedeliste"/>
        <w:numPr>
          <w:ilvl w:val="1"/>
          <w:numId w:val="10"/>
        </w:numPr>
        <w:shd w:val="clear" w:color="auto" w:fill="FFFFFF"/>
        <w:spacing w:before="100" w:beforeAutospacing="1" w:after="150" w:line="240" w:lineRule="auto"/>
        <w:ind w:left="993" w:hanging="11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826ABA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Développer</w:t>
      </w:r>
      <w:r w:rsidR="004F530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des coopérations sur les enjeux</w:t>
      </w:r>
      <w:r w:rsidR="00826ABA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sanitaires</w:t>
      </w:r>
      <w:r w:rsidR="004F530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liés à la qualité de l’alimentation (équilibre alimentaire, conditions de production et de conservation</w:t>
      </w:r>
      <w:r w:rsidR="0084105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</w:t>
      </w:r>
      <w:r w:rsidR="004F530F" w:rsidRPr="00A45F9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). </w:t>
      </w:r>
    </w:p>
    <w:p w:rsidR="003C6B60" w:rsidRDefault="003C6B60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</w:pP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Pays éligibles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L’appel à projets ne vise pas à soutenir des projets dont la dimension serait uniquement régionale. Les projets doivent nécessairement inclure une dimension internationale avec l’un ou plusieurs des pays suivants, avec lesquels la Région Provence-Alpes-Côte d’Azur entretient des relations de coopération décentralisée</w:t>
      </w:r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ou </w:t>
      </w:r>
      <w:r w:rsidR="00B6216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prévoit d’en développer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 :  Algérie, </w:t>
      </w:r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Allemagne, 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Arménie, Chine, Costa Rica, Djibouti, Egypte, Espagne, Israël, Italie, Japon, Liban, Maroc, Slovaquie, Territoires Palestiniens, Tunisie.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lastRenderedPageBreak/>
        <w:t>A qualité équivalente, </w:t>
      </w:r>
      <w:r w:rsidRPr="00E52468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la préférence sera donnée aux projets impliquant au sein des pays susmentionnés les territoires avec lesquels la Région Provence-Alpes-Côte d’Azur coopère ou souhaite coopérer. 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 Il s’agit de : Gouvernorat d’Alexandrie (Egypte), Gouvernorat d’Hébron (Territoires Palestiniens), Gouvernorat de Tunis et Gouvernorat de Kasserine (Tunisie), Mairie d’Haïfa et Mairie de Tel Aviv (Israël), Province de </w:t>
      </w:r>
      <w:proofErr w:type="spellStart"/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Guang</w:t>
      </w:r>
      <w:proofErr w:type="spellEnd"/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Dong (Chine), </w:t>
      </w:r>
      <w:r w:rsidR="00C02EF1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Préfecture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de Kanagawa (Japon), Région Toscane (Italie), Région Catalogne (Espagne), </w:t>
      </w:r>
      <w:r w:rsidR="00B6216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Etat de Bavière (Allemagne), 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Région Lori (Arménie), Région de Prešov (Slovaquie),  Région Tanger-Tétouan-Al Hoceima (Maroc),  République du Costa Rica, République de Djibouti, Union des municipalités de Tyr et Union des municipalités de </w:t>
      </w:r>
      <w:proofErr w:type="spellStart"/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Jezzine</w:t>
      </w:r>
      <w:proofErr w:type="spellEnd"/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(Liban),  Wilaya d’Alger et Wilaya d’Oran (Algérie)</w:t>
      </w:r>
      <w:r w:rsidR="00F24C6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projets déposés peuvent aussi bien concerner des actions bilatérales (entre deux territoires) que multilatérales (entre plusieurs territoires).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Porteurs de projets éligibles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Cet appel à projets est destiné aux :</w:t>
      </w:r>
    </w:p>
    <w:p w:rsidR="00E52468" w:rsidRPr="00E52468" w:rsidRDefault="00E52468" w:rsidP="00EC3E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Collectivités territoriales</w:t>
      </w:r>
    </w:p>
    <w:p w:rsidR="00E52468" w:rsidRDefault="00E52468" w:rsidP="00EC3E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Associations/ONG</w:t>
      </w:r>
    </w:p>
    <w:p w:rsidR="00E52468" w:rsidRPr="00E52468" w:rsidRDefault="00E52468" w:rsidP="00EC3E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Etablissements/Organismes publics ou parapublics</w:t>
      </w:r>
    </w:p>
    <w:p w:rsidR="00E52468" w:rsidRPr="00E52468" w:rsidRDefault="00E52468" w:rsidP="00EC3E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Universités, centres de recherches</w:t>
      </w:r>
    </w:p>
    <w:p w:rsidR="00B56FB3" w:rsidRPr="00E52468" w:rsidRDefault="00B56FB3" w:rsidP="00B56FB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Etablissements de santé, centres de soins</w:t>
      </w:r>
    </w:p>
    <w:p w:rsidR="00E52468" w:rsidRPr="00E52468" w:rsidRDefault="00E52468" w:rsidP="00EC3E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Etablissements d’enseignement / de formation</w:t>
      </w:r>
    </w:p>
    <w:p w:rsidR="00E52468" w:rsidRPr="00E52468" w:rsidRDefault="00E52468" w:rsidP="00EC3E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Entreprises</w:t>
      </w:r>
    </w:p>
    <w:p w:rsidR="00E52468" w:rsidRPr="00E52468" w:rsidRDefault="00B56FB3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 xml:space="preserve"> </w:t>
      </w:r>
      <w:r w:rsidR="00E52468" w:rsidRPr="00E52468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(Liste non exhaustive)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Les porteurs de projets doivent avoir leur siège social et/ou administratif en Région Provence-Alpes-Côte d’Azur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 Les porteurs de projets dont le siège social/et ou administratif ne se situerait pas en Région Provence-Alpes-Côte d’Azur devront faire la preuve qu’ils développent régulièrement une partie de leur activité sur le territoire régional Provence-Alpes-Côte d’Azur, au travers d’une représentation au niveau régional.</w:t>
      </w:r>
    </w:p>
    <w:p w:rsidR="0063746B" w:rsidRDefault="0063746B" w:rsidP="00884C1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</w:p>
    <w:p w:rsidR="00E52468" w:rsidRPr="00E52468" w:rsidRDefault="00E52468" w:rsidP="00884C1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Enveloppe budgétaire dédiée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lastRenderedPageBreak/>
        <w:t>Le montant total de l’enveloppe dédiée à cet appel à projets s’élève à 250 000 €.</w:t>
      </w:r>
    </w:p>
    <w:p w:rsidR="0063746B" w:rsidRDefault="00E52468" w:rsidP="00884C1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</w:t>
      </w:r>
    </w:p>
    <w:p w:rsidR="00E52468" w:rsidRPr="00E52468" w:rsidRDefault="00E52468" w:rsidP="00884C1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Modalités de participation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Le régime des subventions régionales pour actions spécifiques de fonctionnement s’applique au présent appel à projets. Il figure dans le règlement financier du Conseil régional adopté </w:t>
      </w:r>
      <w:r w:rsidR="00884C1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 17 décembre 2020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annexe de la délibération n°</w:t>
      </w:r>
      <w:r w:rsidR="00884C19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20-728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 consultable en ligne :</w:t>
      </w:r>
      <w:r w:rsidR="0063746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</w:p>
    <w:p w:rsidR="00884C19" w:rsidRDefault="00A17174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hyperlink r:id="rId8" w:history="1">
        <w:r w:rsidR="0063746B" w:rsidRPr="007051DB">
          <w:rPr>
            <w:rStyle w:val="Lienhypertexte"/>
            <w:rFonts w:ascii="Arial" w:eastAsia="Times New Roman" w:hAnsi="Arial" w:cs="Arial"/>
            <w:sz w:val="26"/>
            <w:szCs w:val="26"/>
            <w:lang w:eastAsia="fr-FR"/>
          </w:rPr>
          <w:t>https://www.maregionsud.fr/fileadmin/user_upload/Annuaires/Aides/Subventions-page/Reglement_financier_vote_17-12-2020.pdf</w:t>
        </w:r>
      </w:hyperlink>
      <w:r w:rsidR="0063746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 montant de la subvention régionale voté ne pourra avoir pour effet de porter le total des aides publiques à plus de 80% du montant subventionnable. Si les subventions publiques dépassent ce seuil de 80%, le bénéficiaire devra rembourser le trop-perçu.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 montant définitif de la subvention sera calculé au prorata du montant des dépenses justifiées et retenues, rapportées au montant subventionnable et dans la limite de la subvention votée.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Pour les organismes de droit privé, si le seuil de 23 000 € de subventions régionales est atteint dans l’année, la collectivité devra signer une convention avec l'organisme de droit privé qui en bénéficie.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Dans le cas de recours à des partenaires extérieurs par le bénéficiaire/porteur de projets (cf. l’article L. 1611-4 du CGCT), la Région autorise le bénéficiaire/porteur de projet à reverser une partie de la subvention allouée à des partenaires extérieurs pour réaliser la mission et pour un montant prévisionnel donné. A cet effet, une convention signée par le bénéficiaire/porteur de projet et les partenaires concernés doit être obligatoirement fournie lors de la remise du dossier de candidature de l’appel à projets. Cette convention doit expliciter la nature de l’action concernée par le reversement et le montant précis de la somme à reverser.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dépenses suivantes ne sont pas éligibles et ne seront donc pas prises en compte dans le calcul du montant subventionnable : </w:t>
      </w:r>
    </w:p>
    <w:p w:rsidR="00E52468" w:rsidRPr="00E52468" w:rsidRDefault="00E52468" w:rsidP="00EC3E7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charges financières (compte 66),</w:t>
      </w:r>
    </w:p>
    <w:p w:rsidR="00E52468" w:rsidRPr="00E52468" w:rsidRDefault="00E52468" w:rsidP="00EC3E7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charges exceptionnelles (compte 67),</w:t>
      </w:r>
    </w:p>
    <w:p w:rsidR="00E52468" w:rsidRPr="00E52468" w:rsidRDefault="00E52468" w:rsidP="00EC3E7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dotations aux amortissements et aux provisions (compte 68),</w:t>
      </w:r>
    </w:p>
    <w:p w:rsidR="00DC3956" w:rsidRDefault="00E52468" w:rsidP="00EC3E7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lastRenderedPageBreak/>
        <w:t>les emplois des contributions volontaires en nature</w:t>
      </w:r>
      <w:r w:rsidR="00DC395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,</w:t>
      </w:r>
    </w:p>
    <w:p w:rsidR="00E52468" w:rsidRPr="00E52468" w:rsidRDefault="00DC3956" w:rsidP="00EC3E7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dépenses d’investissement</w:t>
      </w:r>
      <w:r w:rsidR="00E52468"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En matière de mobilité et volontariat, seront exclues les indemnités et dépenses déjà financées par l’Etat et/ou les organismes institutionnels de la mobilité.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 porteur de projet bénéficiaire d’une subvention pour action spécifique de fonctionnement dispose d’un délai de deux ans à compter du vote de celle-ci pour réaliser l’action subventionnée et transmettre les pièces justificatives, le cachet de la poste ou le récépissé de dépôt délivré par les services régionaux faisant foi.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La subvention, lorsqu’elle est accordée, est versée au bénéficiaire conformément au règlement financier de la Région, soit une avance de 50% au démarrage du projet, d’éventuelles avances sur demande du bénéficiaire et le solde sur présentation du bilan réalisé de l’action (technique et financier).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dépenses sont éligibles à la date du dépôt du dossier de candidature auprès de la Région.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Durée des projets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DC395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projets pourront s’établir sur une durée maximale de deux ans à compter du vote de la subvention régionale</w:t>
      </w:r>
      <w:r w:rsidR="000A312A" w:rsidRPr="00DC395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  <w:r w:rsidR="000A312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Modalités de dépôt, pièces à joindre et présentation des dossiers de candidature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 dépôt des dossiers de candidature se fait </w:t>
      </w:r>
      <w:r w:rsidRPr="00E52468">
        <w:rPr>
          <w:rFonts w:ascii="Arial" w:eastAsia="Times New Roman" w:hAnsi="Arial" w:cs="Arial"/>
          <w:color w:val="000000"/>
          <w:sz w:val="26"/>
          <w:szCs w:val="26"/>
          <w:u w:val="single"/>
          <w:lang w:eastAsia="fr-FR"/>
        </w:rPr>
        <w:t>de façon dématérialisée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depuis le site de la Région </w:t>
      </w:r>
      <w:hyperlink r:id="rId9" w:tgtFrame="_blank" w:history="1">
        <w:r w:rsidRPr="00E52468">
          <w:rPr>
            <w:rFonts w:ascii="Arial" w:eastAsia="Times New Roman" w:hAnsi="Arial" w:cs="Arial"/>
            <w:color w:val="0563C1"/>
            <w:sz w:val="26"/>
            <w:szCs w:val="26"/>
            <w:u w:val="single"/>
            <w:lang w:eastAsia="fr-FR"/>
          </w:rPr>
          <w:t>https://subventionsenligne.maregionsud.fr</w:t>
        </w:r>
      </w:hyperlink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u w:val="single"/>
          <w:lang w:eastAsia="fr-FR"/>
        </w:rPr>
        <w:t>Aucun dossier ne sera accepté sous format papier.</w:t>
      </w:r>
    </w:p>
    <w:p w:rsidR="00E52468" w:rsidRPr="00E52468" w:rsidRDefault="00E52468" w:rsidP="0063746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Depuis la plateforme numérique de dépôt des dossiers de candidature, il sera exigé des porteurs de projets que ceux-ci transmettent les pièces administratives sollicitées par l’institution pour toute demande de subvention. La liste des pièces est annexée au règlement financier de la Région Provence-Alpes-Côte</w:t>
      </w:r>
      <w:r w:rsidR="0063746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d’Azur</w:t>
      </w:r>
      <w:r w:rsidR="0063746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(</w:t>
      </w:r>
      <w:hyperlink r:id="rId10" w:history="1">
        <w:r w:rsidR="0063746B" w:rsidRPr="007051DB">
          <w:rPr>
            <w:rStyle w:val="Lienhypertexte"/>
            <w:rFonts w:ascii="Arial" w:eastAsia="Times New Roman" w:hAnsi="Arial" w:cs="Arial"/>
            <w:sz w:val="26"/>
            <w:szCs w:val="26"/>
            <w:lang w:eastAsia="fr-FR"/>
          </w:rPr>
          <w:t>https://www.maregionsud.fr/fileadmin/user_upload/Annuaires/Aides/Subventions-page/Reglement_financier_vote_17-12-2020.pdf</w:t>
        </w:r>
      </w:hyperlink>
      <w:r w:rsidR="0063746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).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lastRenderedPageBreak/>
        <w:t>Chaque porteur de projet devra obligatoirement joindre au dossier de candidature une pièce technique complémentaire décrivant le projet en développant les 10 points suivants, en 4 pages minimum :</w:t>
      </w:r>
    </w:p>
    <w:p w:rsidR="00E52468" w:rsidRPr="00E52468" w:rsidRDefault="00E52468" w:rsidP="00EC3E7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Cohérence du projet par rapport à l’objectif général et à un ou deux des sous-objectifs mentionnés dans le règlement de l’appel à projets</w:t>
      </w:r>
    </w:p>
    <w:p w:rsidR="00E52468" w:rsidRPr="00E52468" w:rsidRDefault="00E52468" w:rsidP="00EC3E7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Zones géographiques concernées</w:t>
      </w:r>
    </w:p>
    <w:p w:rsidR="00E52468" w:rsidRPr="00E52468" w:rsidRDefault="00E52468" w:rsidP="00EC3E7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Présentation détaillée du projet et de chacune des activités</w:t>
      </w:r>
    </w:p>
    <w:p w:rsidR="00E52468" w:rsidRPr="00E52468" w:rsidRDefault="00E52468" w:rsidP="00EC3E7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Partenariat</w:t>
      </w:r>
    </w:p>
    <w:p w:rsidR="00E52468" w:rsidRPr="00E52468" w:rsidRDefault="00E52468" w:rsidP="00EC3E7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Public(s) cible(s)</w:t>
      </w:r>
    </w:p>
    <w:p w:rsidR="00E52468" w:rsidRPr="00E52468" w:rsidRDefault="00E52468" w:rsidP="00EC3E7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Critères d’évaluation, indicateurs, résultats attendus</w:t>
      </w:r>
    </w:p>
    <w:p w:rsidR="00E52468" w:rsidRPr="00E52468" w:rsidRDefault="00E52468" w:rsidP="00EC3E7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Calendrier de réalisation du projet</w:t>
      </w:r>
    </w:p>
    <w:p w:rsidR="00E52468" w:rsidRPr="00E52468" w:rsidRDefault="00E52468" w:rsidP="00EC3E7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Impact sur le territoire régional</w:t>
      </w:r>
    </w:p>
    <w:p w:rsidR="00AE1C15" w:rsidRDefault="00E52468" w:rsidP="00AE1C1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Durabilité du projet et des action</w:t>
      </w:r>
      <w:r w:rsidR="00AE1C1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s</w:t>
      </w:r>
    </w:p>
    <w:p w:rsidR="00E52468" w:rsidRPr="00AE1C15" w:rsidRDefault="00E52468" w:rsidP="00AE1C1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AE1C15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Stratégie de communication, visibilité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 porteur de projet est invité à expliciter clairement les points de l’appel à projets auquel sa proposition tend à répondre. La présentation d’un cadre-logique au sein de cette pièce technique sera apprécié.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Il est demandé à chaque porteur de projet de précéder le titre du projet faisant l’objet du dossier de candidature de la mention « </w:t>
      </w:r>
      <w:r w:rsidR="0063746B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Santé résiliente et durable face aux crises</w:t>
      </w:r>
      <w:r w:rsidR="00E570BA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- </w:t>
      </w:r>
      <w:proofErr w:type="spellStart"/>
      <w:r w:rsidR="00E570BA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Cop</w:t>
      </w:r>
      <w:r w:rsidR="008D634E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S</w:t>
      </w:r>
      <w:r w:rsidR="00E570BA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anté</w:t>
      </w:r>
      <w:proofErr w:type="spellEnd"/>
      <w:r w:rsidRPr="00E52468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 ».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dossiers incomplets seront déclarés irrecevables. L’irrecevabilité sera notifiée par écrit au demandeur.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 présent règlement sera mis en ligne sur le site de la Région </w:t>
      </w:r>
      <w:hyperlink r:id="rId11" w:tgtFrame="_blank" w:history="1">
        <w:r w:rsidRPr="00E52468">
          <w:rPr>
            <w:rFonts w:ascii="Arial" w:eastAsia="Times New Roman" w:hAnsi="Arial" w:cs="Arial"/>
            <w:color w:val="0563C1"/>
            <w:sz w:val="26"/>
            <w:szCs w:val="26"/>
            <w:u w:val="single"/>
            <w:lang w:eastAsia="fr-FR"/>
          </w:rPr>
          <w:t>https://www.maregionsud.fr/</w:t>
        </w:r>
      </w:hyperlink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et pourra être transmis sur demande à la date d’entrée en vigueur de la délibération régionale.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Les porteurs de projets doivent se référencer dans la cartographie de Territoires Solidaires, le réseau des acteurs de la coopération et de la solidarité internationale en Provence-Alpes-Côte d’Azur : </w:t>
      </w:r>
      <w:hyperlink r:id="rId12" w:tgtFrame="_blank" w:history="1">
        <w:r w:rsidRPr="00E52468">
          <w:rPr>
            <w:rFonts w:ascii="Arial" w:eastAsia="Times New Roman" w:hAnsi="Arial" w:cs="Arial"/>
            <w:i/>
            <w:iCs/>
            <w:color w:val="0072BC"/>
            <w:sz w:val="26"/>
            <w:szCs w:val="26"/>
            <w:lang w:eastAsia="fr-FR"/>
          </w:rPr>
          <w:t>www.territoires-solidaires.com</w:t>
        </w:r>
      </w:hyperlink>
      <w:r w:rsidRPr="00E52468">
        <w:rPr>
          <w:rFonts w:ascii="Arial" w:eastAsia="Times New Roman" w:hAnsi="Arial" w:cs="Arial"/>
          <w:i/>
          <w:iCs/>
          <w:color w:val="000000"/>
          <w:sz w:val="26"/>
          <w:szCs w:val="26"/>
          <w:lang w:eastAsia="fr-FR"/>
        </w:rPr>
        <w:t> à la rubrique « Annuaire du réseau ».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Calendrier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Date d’ouverture de l’appel à projets : </w:t>
      </w:r>
      <w:r w:rsidR="0063746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le </w:t>
      </w:r>
      <w:r w:rsidR="003551C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17 mai 2021.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lastRenderedPageBreak/>
        <w:t xml:space="preserve">Date de clôture de l’appel à projets : </w:t>
      </w:r>
      <w:r w:rsidR="0063746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le </w:t>
      </w:r>
      <w:r w:rsidR="00F24C6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30</w:t>
      </w:r>
      <w:r w:rsidR="003551C0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juillet 2021 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à minuit.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Tout dossier déposé hors délai sera rejeté.</w:t>
      </w:r>
    </w:p>
    <w:p w:rsid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La Région Provence-Alpes-Côte d’Azur se réserve le droit de prolonger la période de dépôt des candidatures. En cas de prorogation de l’appel à projets, nous vous invitons à vous référer au site internet de la Région à l’adresse : </w:t>
      </w:r>
      <w:hyperlink r:id="rId13" w:tgtFrame="_blank" w:history="1">
        <w:r w:rsidRPr="00E52468">
          <w:rPr>
            <w:rFonts w:ascii="Arial" w:eastAsia="Times New Roman" w:hAnsi="Arial" w:cs="Arial"/>
            <w:color w:val="0563C1"/>
            <w:sz w:val="26"/>
            <w:szCs w:val="26"/>
            <w:u w:val="single"/>
            <w:lang w:eastAsia="fr-FR"/>
          </w:rPr>
          <w:t>www.maregionsud.fr</w:t>
        </w:r>
      </w:hyperlink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</w:p>
    <w:p w:rsidR="00211847" w:rsidRPr="00E52468" w:rsidRDefault="00211847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bookmarkStart w:id="1" w:name="_Hlk68184089"/>
      <w:bookmarkStart w:id="2" w:name="_Hlk68184182"/>
      <w:r w:rsidRPr="00DC3956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La sélection des projets lauréats fera l’objet d’un vote du Conseil régional Provence-Alpes-Côte d’Azur au second semestre 2021.</w:t>
      </w: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</w:p>
    <w:bookmarkEnd w:id="1"/>
    <w:bookmarkEnd w:id="2"/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Procédure d’évaluation et d’adoption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dossiers de candidature seront instruits et évalués par le Service Coopération décentralisée.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L’adoption finale et les subventions seront votées par le Conseil régional Provence-Alpes-Côte d'Azur.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Critères d’évaluation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projets seront notamment évalués au regard des critères suivants : </w:t>
      </w:r>
    </w:p>
    <w:p w:rsidR="00E52468" w:rsidRPr="00E52468" w:rsidRDefault="00E52468" w:rsidP="00EC3E79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Cohérence par rapport à l’objectif général de l’appel à projets et à l’un ou à plusieurs de ses sous-objectifs (20%)</w:t>
      </w:r>
    </w:p>
    <w:p w:rsidR="00E52468" w:rsidRPr="00E52468" w:rsidRDefault="00E52468" w:rsidP="00EC3E79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Eligibilité des actions (20%)</w:t>
      </w:r>
    </w:p>
    <w:p w:rsidR="00E52468" w:rsidRPr="00E52468" w:rsidRDefault="00E52468" w:rsidP="00EC3E79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Opérationnalité des actions menées (impact sur les territoires de coopération) (20%)</w:t>
      </w:r>
    </w:p>
    <w:p w:rsidR="00E52468" w:rsidRPr="00E52468" w:rsidRDefault="00E52468" w:rsidP="00EC3E79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Qualité du partenariat régional et méditerranéen (20%)</w:t>
      </w:r>
    </w:p>
    <w:p w:rsidR="00E52468" w:rsidRPr="00E52468" w:rsidRDefault="00E52468" w:rsidP="00EC3E79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Mise en place d’une évaluation des résultats escomptés (10%)</w:t>
      </w:r>
    </w:p>
    <w:p w:rsidR="00E52468" w:rsidRPr="00E52468" w:rsidRDefault="00E52468" w:rsidP="00EC3E79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Visibilité, communication et diffusion médiatique (10%)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</w:pPr>
      <w:r w:rsidRPr="00E52468">
        <w:rPr>
          <w:rFonts w:ascii="Arial" w:eastAsia="Times New Roman" w:hAnsi="Arial" w:cs="Arial"/>
          <w:b/>
          <w:bCs/>
          <w:color w:val="0072BC"/>
          <w:sz w:val="36"/>
          <w:szCs w:val="36"/>
          <w:lang w:eastAsia="fr-FR"/>
        </w:rPr>
        <w:t>Communication et suivi des projets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En cas de diffusion de documents d’information et de communication destinés au public concernant le projet subventionné par la Région, le bénéficiaire doit </w:t>
      </w: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lastRenderedPageBreak/>
        <w:t>faire état de l’aide régionale par tout moyen autorisé par l’Institution, telle que l’apposition du logo régional.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Chaque projet retenu devra donner lieu à une communication associant la Région.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Une restitution des résultats des projets pourra être programmée avec la Région.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lauréats de l’appel devront informer régulièrement la Région de l’avancée de leurs projets. Autant que possible, la Région sera associée aux comités de pilotage des différents projets sélectionnés.</w:t>
      </w:r>
    </w:p>
    <w:p w:rsidR="00E52468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</w:t>
      </w:r>
    </w:p>
    <w:p w:rsidR="00E52468" w:rsidRPr="00E570BA" w:rsidRDefault="00E52468" w:rsidP="00EC3E79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0072BC"/>
          <w:sz w:val="36"/>
          <w:szCs w:val="36"/>
          <w:lang w:val="it-IT" w:eastAsia="fr-FR"/>
        </w:rPr>
      </w:pPr>
      <w:r w:rsidRPr="00E570BA">
        <w:rPr>
          <w:rFonts w:ascii="Arial" w:eastAsia="Times New Roman" w:hAnsi="Arial" w:cs="Arial"/>
          <w:b/>
          <w:bCs/>
          <w:color w:val="0072BC"/>
          <w:sz w:val="36"/>
          <w:szCs w:val="36"/>
          <w:lang w:val="it-IT" w:eastAsia="fr-FR"/>
        </w:rPr>
        <w:t>Contact</w:t>
      </w:r>
    </w:p>
    <w:p w:rsidR="00A17174" w:rsidRDefault="00A17174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it-IT"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it-IT" w:eastAsia="fr-FR"/>
        </w:rPr>
        <w:t xml:space="preserve">Sonia TEBBAKH : </w:t>
      </w:r>
      <w:hyperlink r:id="rId14" w:history="1">
        <w:r w:rsidRPr="00754E04">
          <w:rPr>
            <w:rStyle w:val="Lienhypertexte"/>
            <w:rFonts w:ascii="Arial" w:eastAsia="Times New Roman" w:hAnsi="Arial" w:cs="Arial"/>
            <w:sz w:val="26"/>
            <w:szCs w:val="26"/>
            <w:lang w:val="it-IT" w:eastAsia="fr-FR"/>
          </w:rPr>
          <w:t>stebbakh@maregionsud.fr</w:t>
        </w:r>
      </w:hyperlink>
    </w:p>
    <w:p w:rsidR="002B0CEE" w:rsidRPr="00E52468" w:rsidRDefault="00E52468" w:rsidP="00EC3E7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E5246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Direction Coopération Euro-Méditerranéenne - Service Coopération Décentralisée</w:t>
      </w:r>
      <w:bookmarkStart w:id="3" w:name="_GoBack"/>
      <w:bookmarkEnd w:id="3"/>
    </w:p>
    <w:sectPr w:rsidR="002B0CEE" w:rsidRPr="00E5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83" w:rsidRDefault="00A32E83" w:rsidP="009B72E9">
      <w:pPr>
        <w:spacing w:after="0" w:line="240" w:lineRule="auto"/>
      </w:pPr>
      <w:r>
        <w:separator/>
      </w:r>
    </w:p>
  </w:endnote>
  <w:endnote w:type="continuationSeparator" w:id="0">
    <w:p w:rsidR="00A32E83" w:rsidRDefault="00A32E83" w:rsidP="009B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83" w:rsidRDefault="00A32E83" w:rsidP="009B72E9">
      <w:pPr>
        <w:spacing w:after="0" w:line="240" w:lineRule="auto"/>
      </w:pPr>
      <w:r>
        <w:separator/>
      </w:r>
    </w:p>
  </w:footnote>
  <w:footnote w:type="continuationSeparator" w:id="0">
    <w:p w:rsidR="00A32E83" w:rsidRDefault="00A32E83" w:rsidP="009B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674"/>
    <w:multiLevelType w:val="multilevel"/>
    <w:tmpl w:val="769837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1333D7"/>
    <w:multiLevelType w:val="multilevel"/>
    <w:tmpl w:val="0D2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36ABE"/>
    <w:multiLevelType w:val="multilevel"/>
    <w:tmpl w:val="839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41222"/>
    <w:multiLevelType w:val="multilevel"/>
    <w:tmpl w:val="B94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91649"/>
    <w:multiLevelType w:val="multilevel"/>
    <w:tmpl w:val="E512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E1802"/>
    <w:multiLevelType w:val="multilevel"/>
    <w:tmpl w:val="413CE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99E0745"/>
    <w:multiLevelType w:val="multilevel"/>
    <w:tmpl w:val="4AA8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664B7"/>
    <w:multiLevelType w:val="multilevel"/>
    <w:tmpl w:val="3AE8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47910"/>
    <w:multiLevelType w:val="multilevel"/>
    <w:tmpl w:val="C25E1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69160BC"/>
    <w:multiLevelType w:val="multilevel"/>
    <w:tmpl w:val="B8B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68"/>
    <w:rsid w:val="00040A63"/>
    <w:rsid w:val="000839EA"/>
    <w:rsid w:val="000A312A"/>
    <w:rsid w:val="001652A8"/>
    <w:rsid w:val="00211847"/>
    <w:rsid w:val="002828CB"/>
    <w:rsid w:val="002B0CEE"/>
    <w:rsid w:val="003551C0"/>
    <w:rsid w:val="003C6B60"/>
    <w:rsid w:val="003D13FB"/>
    <w:rsid w:val="004017BC"/>
    <w:rsid w:val="00467131"/>
    <w:rsid w:val="0047448C"/>
    <w:rsid w:val="00483751"/>
    <w:rsid w:val="004F530F"/>
    <w:rsid w:val="0051207F"/>
    <w:rsid w:val="0053189A"/>
    <w:rsid w:val="005D3B29"/>
    <w:rsid w:val="005D4056"/>
    <w:rsid w:val="005E7E73"/>
    <w:rsid w:val="0063746B"/>
    <w:rsid w:val="00733AE9"/>
    <w:rsid w:val="007944BC"/>
    <w:rsid w:val="007F0C06"/>
    <w:rsid w:val="00820651"/>
    <w:rsid w:val="00826ABA"/>
    <w:rsid w:val="00841057"/>
    <w:rsid w:val="00884C19"/>
    <w:rsid w:val="008B50BB"/>
    <w:rsid w:val="008C7F67"/>
    <w:rsid w:val="008D634E"/>
    <w:rsid w:val="00925E51"/>
    <w:rsid w:val="009801A6"/>
    <w:rsid w:val="00987A0B"/>
    <w:rsid w:val="009A5144"/>
    <w:rsid w:val="009B72E9"/>
    <w:rsid w:val="00A17174"/>
    <w:rsid w:val="00A32E83"/>
    <w:rsid w:val="00A45F95"/>
    <w:rsid w:val="00A57248"/>
    <w:rsid w:val="00A630EC"/>
    <w:rsid w:val="00AA0145"/>
    <w:rsid w:val="00AC4DFB"/>
    <w:rsid w:val="00AE1C15"/>
    <w:rsid w:val="00B56FB3"/>
    <w:rsid w:val="00B612F0"/>
    <w:rsid w:val="00B6216F"/>
    <w:rsid w:val="00C02EF1"/>
    <w:rsid w:val="00D77817"/>
    <w:rsid w:val="00DC3956"/>
    <w:rsid w:val="00DE5D8F"/>
    <w:rsid w:val="00DF2A09"/>
    <w:rsid w:val="00E14FAA"/>
    <w:rsid w:val="00E52468"/>
    <w:rsid w:val="00E570BA"/>
    <w:rsid w:val="00E70AC0"/>
    <w:rsid w:val="00EC3E79"/>
    <w:rsid w:val="00F24C6F"/>
    <w:rsid w:val="00F42F7E"/>
    <w:rsid w:val="00FE5EC8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31DB"/>
  <w15:chartTrackingRefBased/>
  <w15:docId w15:val="{2D984E9B-CEEE-4B0A-AB24-84691A32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46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74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746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12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2E9"/>
  </w:style>
  <w:style w:type="paragraph" w:styleId="Pieddepage">
    <w:name w:val="footer"/>
    <w:basedOn w:val="Normal"/>
    <w:link w:val="PieddepageCar"/>
    <w:uiPriority w:val="99"/>
    <w:unhideWhenUsed/>
    <w:rsid w:val="009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04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egionsud.fr/fileadmin/user_upload/Annuaires/Aides/Subventions-page/Reglement_financier_vote_17-12-2020.pdf" TargetMode="External"/><Relationship Id="rId13" Type="http://schemas.openxmlformats.org/officeDocument/2006/relationships/hyperlink" Target="http://www.maregionsud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erritoires-solidaire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egionsud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aregionsud.fr/fileadmin/user_upload/Annuaires/Aides/Subventions-page/Reglement_financier_vote_17-12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bventionsenligne.maregionsud.fr/" TargetMode="External"/><Relationship Id="rId14" Type="http://schemas.openxmlformats.org/officeDocument/2006/relationships/hyperlink" Target="mailto:stebbakh@maregionsu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2461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ELIZALDE Cecile</dc:creator>
  <cp:keywords/>
  <dc:description/>
  <cp:lastModifiedBy>KENNIBOL Kim-Anne</cp:lastModifiedBy>
  <cp:revision>6</cp:revision>
  <cp:lastPrinted>2020-09-18T09:08:00Z</cp:lastPrinted>
  <dcterms:created xsi:type="dcterms:W3CDTF">2021-04-07T14:29:00Z</dcterms:created>
  <dcterms:modified xsi:type="dcterms:W3CDTF">2021-05-11T10:25:00Z</dcterms:modified>
</cp:coreProperties>
</file>