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4D" w:rsidRDefault="00367792">
      <w:pPr>
        <w:spacing w:after="0" w:line="240" w:lineRule="auto"/>
        <w:jc w:val="center"/>
      </w:pPr>
      <w:bookmarkStart w:id="0" w:name="_GoBack"/>
      <w:bookmarkEnd w:id="0"/>
      <w:r>
        <w:rPr>
          <w:rStyle w:val="fontstyle01"/>
          <w:rFonts w:ascii="Marianne" w:hAnsi="Marianne"/>
          <w:sz w:val="21"/>
          <w:szCs w:val="21"/>
        </w:rPr>
        <w:t xml:space="preserve">ATTESTATION DE DEPLACEMENT DEPUIS LA FRANCE METROPOLITAINE </w:t>
      </w:r>
      <w:r w:rsidR="00626246">
        <w:rPr>
          <w:rStyle w:val="fontstyle01"/>
          <w:rFonts w:ascii="Marianne" w:hAnsi="Marianne"/>
          <w:sz w:val="21"/>
          <w:szCs w:val="21"/>
        </w:rPr>
        <w:t xml:space="preserve">et LES TERRITOIRES ULTRAMARINS </w:t>
      </w:r>
      <w:r>
        <w:rPr>
          <w:rStyle w:val="fontstyle01"/>
          <w:rFonts w:ascii="Marianne" w:hAnsi="Marianne"/>
          <w:sz w:val="21"/>
          <w:szCs w:val="21"/>
        </w:rPr>
        <w:t xml:space="preserve">VERS UN PAYS EXTERIEUR A L’ESPACE EUROPEEN* </w:t>
      </w:r>
    </w:p>
    <w:p w:rsidR="00AB724D" w:rsidRDefault="00AB724D">
      <w:pPr>
        <w:jc w:val="center"/>
        <w:rPr>
          <w:rFonts w:ascii="Marianne" w:hAnsi="Marianne"/>
          <w:sz w:val="21"/>
          <w:szCs w:val="21"/>
          <w:u w:val="single"/>
        </w:rPr>
      </w:pPr>
    </w:p>
    <w:p w:rsidR="00AB724D" w:rsidRDefault="00367792">
      <w:pPr>
        <w:jc w:val="center"/>
      </w:pPr>
      <w:r>
        <w:rPr>
          <w:rStyle w:val="fontstyle01"/>
          <w:rFonts w:ascii="Marianne" w:hAnsi="Marianne"/>
          <w:b w:val="0"/>
          <w:sz w:val="18"/>
          <w:szCs w:val="18"/>
        </w:rPr>
        <w:t>(</w:t>
      </w:r>
      <w:r>
        <w:rPr>
          <w:rStyle w:val="fontstyle01"/>
          <w:rFonts w:ascii="Marianne" w:hAnsi="Marianne"/>
          <w:sz w:val="18"/>
          <w:szCs w:val="18"/>
        </w:rPr>
        <w:t>*</w:t>
      </w:r>
      <w:r>
        <w:rPr>
          <w:rStyle w:val="fontstyle01"/>
          <w:rFonts w:ascii="Marianne" w:hAnsi="Marianne"/>
          <w:b w:val="0"/>
          <w:sz w:val="18"/>
          <w:szCs w:val="18"/>
        </w:rPr>
        <w:t>ETATS MEMBRES DE L’UNION EUROPEENNE, ANDORRE, ISLANDE, LIECHTENSTEIN, MONACO, NORVEGE, SAINT-MARIN, SUISSE ET VATICAN)</w:t>
      </w:r>
    </w:p>
    <w:p w:rsidR="00AB724D" w:rsidRDefault="00AB724D">
      <w:pPr>
        <w:spacing w:after="120"/>
        <w:jc w:val="both"/>
        <w:rPr>
          <w:rStyle w:val="fontstyle21"/>
          <w:rFonts w:ascii="Marianne" w:hAnsi="Marianne"/>
          <w:color w:val="00000A"/>
        </w:rPr>
      </w:pPr>
    </w:p>
    <w:p w:rsidR="00AB724D" w:rsidRDefault="00367792">
      <w:pPr>
        <w:spacing w:after="120"/>
        <w:jc w:val="both"/>
      </w:pPr>
      <w:r>
        <w:rPr>
          <w:rStyle w:val="fontstyle21"/>
          <w:rFonts w:ascii="Marianne" w:hAnsi="Marianne"/>
          <w:color w:val="00000A"/>
        </w:rPr>
        <w:t xml:space="preserve">Les personnes souhaitant quitter le territoire national vers un pays extérieur à l’espace européen doivent justifier d’un motif impérieux sanitaire, familial ou économique associé à leur déplacement. </w:t>
      </w:r>
    </w:p>
    <w:p w:rsidR="00AB724D" w:rsidRDefault="00367792">
      <w:pPr>
        <w:spacing w:after="120"/>
        <w:jc w:val="both"/>
        <w:rPr>
          <w:rStyle w:val="fontstyle21"/>
          <w:rFonts w:ascii="Marianne" w:hAnsi="Marianne"/>
          <w:color w:val="00000A"/>
        </w:rPr>
      </w:pPr>
      <w:r>
        <w:rPr>
          <w:rStyle w:val="fontstyle21"/>
          <w:rFonts w:ascii="Marianne" w:hAnsi="Marianne"/>
          <w:color w:val="00000A"/>
        </w:rPr>
        <w:t>La vérification de l’existence de ce motif impérieux sera effectuée en France avant le départ.</w:t>
      </w:r>
    </w:p>
    <w:p w:rsidR="00AB724D" w:rsidRDefault="00367792">
      <w:pPr>
        <w:spacing w:after="120"/>
        <w:jc w:val="both"/>
        <w:rPr>
          <w:rFonts w:ascii="Marianne" w:hAnsi="Marianne"/>
        </w:rPr>
      </w:pPr>
      <w:r>
        <w:rPr>
          <w:rStyle w:val="fontstyle21"/>
          <w:rFonts w:ascii="Marianne" w:hAnsi="Marianne"/>
        </w:rPr>
        <w:t>En cas de fausse déclaration ou de motif non valable, l’embarquement sera refusé.</w:t>
      </w:r>
    </w:p>
    <w:p w:rsidR="00AB724D" w:rsidRDefault="00367792">
      <w:pPr>
        <w:pStyle w:val="NormalWeb"/>
        <w:spacing w:before="120" w:beforeAutospacing="0" w:after="160" w:line="240" w:lineRule="auto"/>
      </w:pPr>
      <w:r>
        <w:rPr>
          <w:rStyle w:val="fontstyle01"/>
          <w:rFonts w:ascii="Marianne" w:hAnsi="Marianne"/>
          <w:color w:val="00000A"/>
          <w:sz w:val="20"/>
          <w:szCs w:val="20"/>
          <w:u w:val="single"/>
          <w:lang w:eastAsia="en-US"/>
        </w:rPr>
        <w:t>Partie à compléter par le voyageur</w:t>
      </w:r>
      <w:r>
        <w:rPr>
          <w:rStyle w:val="fontstyle01"/>
          <w:rFonts w:ascii="Marianne" w:hAnsi="Marianne"/>
          <w:color w:val="00000A"/>
          <w:sz w:val="20"/>
          <w:szCs w:val="20"/>
          <w:lang w:eastAsia="en-US"/>
        </w:rPr>
        <w:t xml:space="preserve"> :</w:t>
      </w:r>
    </w:p>
    <w:p w:rsidR="00AB724D" w:rsidRDefault="00367792">
      <w:pPr>
        <w:pStyle w:val="NormalWeb"/>
        <w:spacing w:before="280" w:beforeAutospacing="0" w:after="160" w:line="240" w:lineRule="auto"/>
        <w:rPr>
          <w:rFonts w:ascii="Marianne" w:hAnsi="Marianne"/>
          <w:b/>
          <w:sz w:val="20"/>
          <w:szCs w:val="20"/>
        </w:rPr>
      </w:pP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Je soussigné(e),</w:t>
      </w:r>
    </w:p>
    <w:p w:rsidR="00AB724D" w:rsidRDefault="00367792">
      <w:pPr>
        <w:pStyle w:val="NormalWeb"/>
        <w:spacing w:before="280" w:beforeAutospacing="0" w:after="160" w:line="240" w:lineRule="auto"/>
        <w:rPr>
          <w:rFonts w:ascii="Marianne" w:hAnsi="Marianne"/>
          <w:b/>
          <w:sz w:val="20"/>
          <w:szCs w:val="20"/>
        </w:rPr>
      </w:pP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Mme/M.</w:t>
      </w:r>
      <w:r>
        <w:rPr>
          <w:rStyle w:val="fontstyle21"/>
          <w:rFonts w:ascii="Calibri" w:eastAsiaTheme="minorHAnsi" w:hAnsi="Calibri" w:cs="Calibr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:</w:t>
      </w:r>
    </w:p>
    <w:p w:rsidR="00AB724D" w:rsidRDefault="00367792">
      <w:pPr>
        <w:pStyle w:val="NormalWeb"/>
        <w:spacing w:before="280" w:beforeAutospacing="0" w:after="160" w:line="240" w:lineRule="auto"/>
        <w:rPr>
          <w:rFonts w:ascii="Marianne" w:hAnsi="Marianne"/>
          <w:b/>
          <w:sz w:val="20"/>
          <w:szCs w:val="20"/>
        </w:rPr>
      </w:pP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Né(e) le</w:t>
      </w:r>
      <w:r>
        <w:rPr>
          <w:rStyle w:val="fontstyle21"/>
          <w:rFonts w:ascii="Calibri" w:eastAsiaTheme="minorHAnsi" w:hAnsi="Calibri" w:cs="Calibr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:</w:t>
      </w:r>
    </w:p>
    <w:p w:rsidR="00AB724D" w:rsidRDefault="00367792">
      <w:pPr>
        <w:pStyle w:val="NormalWeb"/>
        <w:spacing w:before="280" w:beforeAutospacing="0" w:after="160" w:line="240" w:lineRule="auto"/>
        <w:rPr>
          <w:rFonts w:ascii="Marianne" w:hAnsi="Marianne"/>
          <w:b/>
          <w:sz w:val="20"/>
          <w:szCs w:val="20"/>
        </w:rPr>
      </w:pP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Nationalité</w:t>
      </w:r>
      <w:r>
        <w:rPr>
          <w:rStyle w:val="fontstyle21"/>
          <w:rFonts w:ascii="Calibri" w:eastAsiaTheme="minorHAnsi" w:hAnsi="Calibri" w:cs="Calibr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:</w:t>
      </w:r>
    </w:p>
    <w:p w:rsidR="00AB724D" w:rsidRDefault="00367792">
      <w:pPr>
        <w:pStyle w:val="NormalWeb"/>
        <w:spacing w:before="280" w:beforeAutospacing="0" w:after="160" w:line="240" w:lineRule="auto"/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</w:pP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Demeurant</w:t>
      </w:r>
      <w:r>
        <w:rPr>
          <w:rStyle w:val="fontstyle21"/>
          <w:rFonts w:ascii="Calibri" w:eastAsiaTheme="minorHAnsi" w:hAnsi="Calibri" w:cs="Calibr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  <w:t>:</w:t>
      </w:r>
    </w:p>
    <w:p w:rsidR="00AB724D" w:rsidRDefault="00367792">
      <w:pPr>
        <w:pStyle w:val="NormalWeb"/>
        <w:spacing w:before="280" w:beforeAutospacing="0" w:after="360" w:line="240" w:lineRule="auto"/>
        <w:rPr>
          <w:rStyle w:val="fontstyle31"/>
          <w:rFonts w:ascii="Marianne" w:eastAsiaTheme="minorHAnsi" w:hAnsi="Marianne" w:cstheme="minorBidi"/>
          <w:b/>
          <w:color w:val="00000A"/>
          <w:sz w:val="20"/>
          <w:szCs w:val="20"/>
          <w:lang w:eastAsia="en-US"/>
        </w:rPr>
      </w:pPr>
      <w:proofErr w:type="gramStart"/>
      <w:r>
        <w:rPr>
          <w:rStyle w:val="fontstyle31"/>
          <w:rFonts w:ascii="Marianne" w:hAnsi="Marianne"/>
          <w:b/>
          <w:color w:val="00000A"/>
          <w:sz w:val="20"/>
          <w:szCs w:val="20"/>
        </w:rPr>
        <w:t>certifie</w:t>
      </w:r>
      <w:proofErr w:type="gramEnd"/>
      <w:r>
        <w:rPr>
          <w:rStyle w:val="fontstyle31"/>
          <w:rFonts w:ascii="Marianne" w:hAnsi="Marianne"/>
          <w:b/>
          <w:color w:val="00000A"/>
          <w:sz w:val="20"/>
          <w:szCs w:val="20"/>
        </w:rPr>
        <w:t xml:space="preserve"> que mon motif de déplacement correspond à  l’un des motifs impérieux suivants (cocher la case) :</w:t>
      </w:r>
    </w:p>
    <w:p w:rsidR="00AB724D" w:rsidRDefault="00367792">
      <w:pPr>
        <w:pStyle w:val="NormalWeb"/>
        <w:spacing w:before="280" w:after="280" w:line="240" w:lineRule="auto"/>
        <w:jc w:val="both"/>
      </w:pPr>
      <w:proofErr w:type="gramStart"/>
      <w:r>
        <w:rPr>
          <w:rFonts w:ascii="Marianne" w:hAnsi="Marianne"/>
          <w:sz w:val="18"/>
          <w:szCs w:val="18"/>
        </w:rPr>
        <w:t>[  ]</w:t>
      </w:r>
      <w:proofErr w:type="gramEnd"/>
      <w:r>
        <w:rPr>
          <w:rFonts w:ascii="Marianne" w:hAnsi="Marianne"/>
          <w:sz w:val="18"/>
          <w:szCs w:val="18"/>
        </w:rPr>
        <w:t xml:space="preserve"> Motif sanitaire impérieux  (préciser) :</w:t>
      </w:r>
    </w:p>
    <w:p w:rsidR="00AB724D" w:rsidRDefault="00367792">
      <w:pPr>
        <w:pStyle w:val="NormalWeb"/>
        <w:spacing w:before="280" w:after="280" w:line="240" w:lineRule="auto"/>
        <w:jc w:val="both"/>
      </w:pPr>
      <w:proofErr w:type="gramStart"/>
      <w:r>
        <w:rPr>
          <w:rFonts w:ascii="Marianne" w:hAnsi="Marianne"/>
          <w:sz w:val="18"/>
          <w:szCs w:val="18"/>
        </w:rPr>
        <w:t>[  ]</w:t>
      </w:r>
      <w:proofErr w:type="gramEnd"/>
      <w:r>
        <w:rPr>
          <w:rFonts w:ascii="Marianne" w:hAnsi="Marianne"/>
          <w:sz w:val="18"/>
          <w:szCs w:val="18"/>
        </w:rPr>
        <w:t xml:space="preserve"> Motif familial impérieux  (préciser) :                        </w:t>
      </w:r>
    </w:p>
    <w:p w:rsidR="00AB724D" w:rsidRDefault="00367792">
      <w:pPr>
        <w:pStyle w:val="NormalWeb"/>
        <w:spacing w:before="280" w:beforeAutospacing="0" w:after="280" w:line="240" w:lineRule="auto"/>
        <w:jc w:val="both"/>
        <w:rPr>
          <w:rFonts w:ascii="Marianne" w:hAnsi="Marianne"/>
          <w:sz w:val="18"/>
          <w:szCs w:val="18"/>
        </w:rPr>
      </w:pPr>
      <w:proofErr w:type="gramStart"/>
      <w:r>
        <w:rPr>
          <w:rFonts w:ascii="Marianne" w:hAnsi="Marianne"/>
          <w:sz w:val="18"/>
          <w:szCs w:val="18"/>
        </w:rPr>
        <w:t>[  ]</w:t>
      </w:r>
      <w:proofErr w:type="gramEnd"/>
      <w:r>
        <w:rPr>
          <w:rFonts w:ascii="Marianne" w:hAnsi="Marianne"/>
          <w:sz w:val="18"/>
          <w:szCs w:val="18"/>
        </w:rPr>
        <w:t xml:space="preserve"> Motif professionnel impérieux ne pouvant être différé (préciser)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:</w:t>
      </w:r>
    </w:p>
    <w:p w:rsidR="00AB724D" w:rsidRDefault="00367792">
      <w:pPr>
        <w:pStyle w:val="NormalWeb"/>
        <w:spacing w:before="280" w:after="280" w:line="240" w:lineRule="auto"/>
        <w:jc w:val="both"/>
        <w:rPr>
          <w:rFonts w:ascii="Marianne" w:hAnsi="Marianne"/>
          <w:sz w:val="18"/>
          <w:szCs w:val="18"/>
        </w:rPr>
      </w:pPr>
      <w:proofErr w:type="gramStart"/>
      <w:r>
        <w:rPr>
          <w:rFonts w:ascii="Marianne" w:hAnsi="Marianne"/>
          <w:sz w:val="18"/>
          <w:szCs w:val="18"/>
        </w:rPr>
        <w:t>[  ]</w:t>
      </w:r>
      <w:proofErr w:type="gramEnd"/>
      <w:r>
        <w:rPr>
          <w:rFonts w:ascii="Marianne" w:hAnsi="Marianne"/>
          <w:sz w:val="18"/>
          <w:szCs w:val="18"/>
        </w:rPr>
        <w:t xml:space="preserve"> Retour dans le pays de résidence ou d’origine (sans garantie de retour sur le territoire français, sauf motif impérieux)</w:t>
      </w:r>
      <w:r>
        <w:rPr>
          <w:rFonts w:ascii="Courier New" w:hAnsi="Courier New" w:cs="Courier New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;</w:t>
      </w:r>
    </w:p>
    <w:p w:rsidR="00AB724D" w:rsidRDefault="00AB724D">
      <w:pPr>
        <w:rPr>
          <w:rStyle w:val="fontstyle31"/>
        </w:rPr>
      </w:pPr>
    </w:p>
    <w:p w:rsidR="00AB724D" w:rsidRDefault="00AB724D">
      <w:pPr>
        <w:rPr>
          <w:rStyle w:val="fontstyle31"/>
        </w:rPr>
      </w:pPr>
    </w:p>
    <w:p w:rsidR="00AB724D" w:rsidRDefault="00AB724D">
      <w:pPr>
        <w:rPr>
          <w:rStyle w:val="fontstyle31"/>
        </w:rPr>
      </w:pPr>
    </w:p>
    <w:p w:rsidR="00AB724D" w:rsidRDefault="00AB724D">
      <w:pPr>
        <w:rPr>
          <w:rStyle w:val="fontstyle31"/>
        </w:rPr>
      </w:pPr>
    </w:p>
    <w:p w:rsidR="00AB724D" w:rsidRDefault="00367792">
      <w:r>
        <w:rPr>
          <w:rStyle w:val="fontstyle31"/>
        </w:rPr>
        <w:t xml:space="preserve">Fait à </w:t>
      </w:r>
      <w:r>
        <w:rPr>
          <w:rStyle w:val="fontstyle41"/>
        </w:rPr>
        <w:t>.................................</w:t>
      </w:r>
      <w:r>
        <w:rPr>
          <w:rStyle w:val="fontstyle31"/>
        </w:rPr>
        <w:t>, le</w:t>
      </w:r>
      <w:r>
        <w:rPr>
          <w:rStyle w:val="fontstyle41"/>
        </w:rPr>
        <w:t>........</w:t>
      </w:r>
      <w:r>
        <w:rPr>
          <w:rStyle w:val="fontstyle31"/>
        </w:rPr>
        <w:t>/</w:t>
      </w:r>
      <w:r>
        <w:rPr>
          <w:rStyle w:val="fontstyle41"/>
        </w:rPr>
        <w:t>........</w:t>
      </w:r>
      <w:r>
        <w:rPr>
          <w:rStyle w:val="fontstyle31"/>
        </w:rPr>
        <w:t>/2021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  <w:t>(signature)</w:t>
      </w:r>
      <w:r>
        <w:rPr>
          <w:rFonts w:ascii="Marianne-Regular" w:hAnsi="Marianne-Regular"/>
          <w:color w:val="242021"/>
          <w:sz w:val="18"/>
          <w:szCs w:val="18"/>
        </w:rPr>
        <w:br/>
      </w:r>
    </w:p>
    <w:p w:rsidR="00AB724D" w:rsidRDefault="00AB724D">
      <w:pPr>
        <w:rPr>
          <w:rFonts w:ascii="Marianne-Regular" w:hAnsi="Marianne-Regular"/>
          <w:color w:val="242021"/>
          <w:sz w:val="18"/>
          <w:szCs w:val="18"/>
        </w:rPr>
      </w:pPr>
    </w:p>
    <w:p w:rsidR="00AB724D" w:rsidRDefault="00367792">
      <w:pPr>
        <w:rPr>
          <w:rFonts w:ascii="Marianne-Regular" w:hAnsi="Marianne-Regular"/>
          <w:color w:val="242021"/>
          <w:sz w:val="18"/>
          <w:szCs w:val="18"/>
        </w:rPr>
      </w:pPr>
      <w:r>
        <w:br w:type="page"/>
      </w:r>
    </w:p>
    <w:p w:rsidR="00AB724D" w:rsidRDefault="0036779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00" w:lineRule="exact"/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Liste indicative </w:t>
      </w:r>
      <w:r>
        <w:rPr>
          <w:rFonts w:ascii="Times New Roman" w:hAnsi="Times New Roman" w:cs="Times New Roman"/>
          <w:b/>
          <w:sz w:val="20"/>
          <w:szCs w:val="20"/>
        </w:rPr>
        <w:t>des motifs impérieux justifiant des déplacements entre le territoire français et un pays ou territoire n’appartenant pas à l’espace européen</w:t>
      </w:r>
    </w:p>
    <w:p w:rsidR="00AB724D" w:rsidRDefault="00AB724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B724D" w:rsidRDefault="00367792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Motifs impérieux d’ordre personnel ou familial :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Décès d’un membre de la famille en ligne directe (grands-parents, parents, enfants ainsi que les frères et sœurs) / Visite à une personne dont le pronostic vital est engagé, pour les membres de la famille en ligne directe (grands-parents, parents, enfants ainsi que les frères et sœurs); </w:t>
      </w:r>
    </w:p>
    <w:p w:rsidR="00AB724D" w:rsidRDefault="00367792">
      <w:pPr>
        <w:spacing w:line="200" w:lineRule="exact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>Pièces exigibles : acte ou certificat de décès, certificat médical établissant la situation de la personne dont le pronostic vital est engagé, preuve du lien familial</w:t>
      </w:r>
    </w:p>
    <w:p w:rsidR="00AB724D" w:rsidRDefault="00367792">
      <w:pPr>
        <w:spacing w:line="200" w:lineRule="exact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Déplacement en France dans le cadre de l’exercice d’un droit de garde reconnu par décision de justice ;</w:t>
      </w:r>
    </w:p>
    <w:p w:rsidR="00AB724D" w:rsidRDefault="00367792">
      <w:pPr>
        <w:spacing w:line="200" w:lineRule="exact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Pièces exigibles : décision de justice et pièce justificative du lieu de domicile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Convocation par une autorité judiciaire ou administrative ;</w:t>
      </w:r>
    </w:p>
    <w:p w:rsidR="00AB724D" w:rsidRDefault="00367792">
      <w:pPr>
        <w:spacing w:line="200" w:lineRule="exact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Pièce exigible : convocation par l’autorité administrative ou judiciaire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Impossibilité légale ou économique de rester sur le territoire sur lequel se trouve la personne / exécution d’une mesure d’éloignement du territoire ; </w:t>
      </w:r>
    </w:p>
    <w:p w:rsidR="00AB724D" w:rsidRDefault="00367792">
      <w:pPr>
        <w:spacing w:line="200" w:lineRule="exact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Pièces exigibles : Titre de séjour </w:t>
      </w:r>
      <w:proofErr w:type="gramStart"/>
      <w:r>
        <w:rPr>
          <w:rFonts w:ascii="Times New Roman" w:hAnsi="Times New Roman" w:cs="Times New Roman"/>
          <w:sz w:val="20"/>
          <w:szCs w:val="20"/>
        </w:rPr>
        <w:t>expirant,  acte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licenciement, etc...</w:t>
      </w:r>
    </w:p>
    <w:p w:rsidR="00AB724D" w:rsidRDefault="00367792">
      <w:pPr>
        <w:pStyle w:val="Paragraphedeliste"/>
        <w:numPr>
          <w:ilvl w:val="0"/>
          <w:numId w:val="1"/>
        </w:num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Participation à un programme d’échange universitaire</w:t>
      </w:r>
    </w:p>
    <w:p w:rsidR="00AB724D" w:rsidRDefault="00367792">
      <w:pPr>
        <w:spacing w:line="200" w:lineRule="exact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Pièce exigible : certificat de scolarité établi par l’établissement</w:t>
      </w:r>
    </w:p>
    <w:p w:rsidR="00AB724D" w:rsidRDefault="00AB724D">
      <w:pPr>
        <w:spacing w:line="200" w:lineRule="exac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B724D" w:rsidRDefault="00367792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Motif impérieux de santé : 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Urgence médicale vitale (pour la personne ainsi qu’un accompagnant si sa présence est indispensable) ; </w:t>
      </w:r>
    </w:p>
    <w:p w:rsidR="00AB724D" w:rsidRDefault="00367792">
      <w:pPr>
        <w:spacing w:line="200" w:lineRule="exact"/>
        <w:ind w:left="720"/>
        <w:jc w:val="both"/>
      </w:pPr>
      <w:r>
        <w:rPr>
          <w:rFonts w:ascii="Times New Roman" w:hAnsi="Times New Roman" w:cs="Times New Roman"/>
          <w:iCs/>
          <w:sz w:val="20"/>
          <w:szCs w:val="20"/>
        </w:rPr>
        <w:t>Pièces exigibles : certificat médical, preuve d’une hospitalisation programmée, etc...</w:t>
      </w:r>
    </w:p>
    <w:p w:rsidR="00AB724D" w:rsidRDefault="00AB724D">
      <w:pPr>
        <w:spacing w:line="200" w:lineRule="exact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AB724D" w:rsidRDefault="00367792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Motifs impérieux professionnels : 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Missions indispensables à la poursuite d’une activité économique, requérant une présence sur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  qui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 peut être différée et dont le report ou l’annulation aurait des conséquences manifestement disproportionnées ou serait impossible (dont les professionnels du transport) ; </w:t>
      </w:r>
    </w:p>
    <w:p w:rsidR="00AB724D" w:rsidRDefault="00367792">
      <w:pPr>
        <w:spacing w:line="200" w:lineRule="exact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>Pièces exigibles : attestation de l’employeur, carte professionnelle des équipages du transport international de marchandises, du transport international de passagers, du transport international maritime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</w:pPr>
      <w:r>
        <w:rPr>
          <w:rFonts w:ascii="Times New Roman" w:hAnsi="Times New Roman" w:cs="Times New Roman"/>
          <w:iCs/>
          <w:sz w:val="20"/>
          <w:szCs w:val="20"/>
        </w:rPr>
        <w:t xml:space="preserve">Professionnel de santé ou de recherche concourant à la lutte contre la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19 ou participant à des opérations de coopération d’intérêt majeur en matière de santé ; </w:t>
      </w:r>
    </w:p>
    <w:p w:rsidR="00AB724D" w:rsidRDefault="00367792">
      <w:pPr>
        <w:spacing w:line="200" w:lineRule="exact"/>
        <w:ind w:left="720"/>
        <w:jc w:val="both"/>
      </w:pPr>
      <w:r>
        <w:rPr>
          <w:rFonts w:ascii="Times New Roman" w:hAnsi="Times New Roman" w:cs="Times New Roman"/>
          <w:iCs/>
          <w:sz w:val="20"/>
          <w:szCs w:val="20"/>
        </w:rPr>
        <w:t>Pièce exigible : carte professionnelle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</w:pPr>
      <w:r>
        <w:rPr>
          <w:rStyle w:val="Marquedecommentaire"/>
          <w:rFonts w:ascii="Times New Roman" w:hAnsi="Times New Roman" w:cs="Times New Roman"/>
          <w:sz w:val="20"/>
          <w:szCs w:val="20"/>
        </w:rPr>
        <w:t>Missions ponctuelles liées à l’exercice de prérogatives de puissance publique (dont les missions diplomatiques et les missions indispensables à la poursuite de l’exécution des contrats opérationnels des forces armées ou corps militaires) ne pouvant être différées ou reportées ;</w:t>
      </w:r>
    </w:p>
    <w:p w:rsidR="00AB724D" w:rsidRDefault="00367792">
      <w:pPr>
        <w:spacing w:line="200" w:lineRule="exact"/>
        <w:ind w:left="720"/>
        <w:jc w:val="both"/>
      </w:pPr>
      <w:r>
        <w:rPr>
          <w:rStyle w:val="Marquedecommentaire"/>
          <w:rFonts w:ascii="Times New Roman" w:hAnsi="Times New Roman" w:cs="Times New Roman"/>
          <w:sz w:val="20"/>
          <w:szCs w:val="20"/>
        </w:rPr>
        <w:t xml:space="preserve">Pièce exigible : carte professionnelle, ordre de mission </w:t>
      </w:r>
    </w:p>
    <w:p w:rsidR="00AB724D" w:rsidRDefault="00367792">
      <w:pPr>
        <w:numPr>
          <w:ilvl w:val="0"/>
          <w:numId w:val="1"/>
        </w:numPr>
        <w:spacing w:line="200" w:lineRule="exact"/>
        <w:jc w:val="both"/>
      </w:pPr>
      <w:r>
        <w:rPr>
          <w:rStyle w:val="Marquedecommentaire"/>
          <w:rFonts w:ascii="Times New Roman" w:hAnsi="Times New Roman" w:cs="Times New Roman"/>
          <w:sz w:val="20"/>
          <w:szCs w:val="20"/>
        </w:rPr>
        <w:t>Sportifs professionnels de haut niveau pour la participation à des rencontres validées par le ministère des sports ;</w:t>
      </w:r>
    </w:p>
    <w:p w:rsidR="00AB724D" w:rsidRDefault="00367792">
      <w:pPr>
        <w:spacing w:line="200" w:lineRule="exact"/>
        <w:ind w:left="720"/>
        <w:jc w:val="both"/>
        <w:rPr>
          <w:rStyle w:val="Marquedecommentaire"/>
          <w:rFonts w:ascii="Times New Roman" w:hAnsi="Times New Roman" w:cs="Times New Roman"/>
          <w:color w:val="242021"/>
          <w:sz w:val="20"/>
          <w:szCs w:val="20"/>
        </w:rPr>
      </w:pPr>
      <w:r>
        <w:rPr>
          <w:rStyle w:val="Marquedecommentaire"/>
          <w:rFonts w:ascii="Times New Roman" w:hAnsi="Times New Roman" w:cs="Times New Roman"/>
          <w:color w:val="242021"/>
          <w:sz w:val="20"/>
          <w:szCs w:val="20"/>
        </w:rPr>
        <w:t>Pièce exigible : carte professionnelle, certificat délivré par l’organisateur en lien avec le ministère des sports</w:t>
      </w:r>
    </w:p>
    <w:p w:rsidR="00AB724D" w:rsidRDefault="00367792">
      <w:pPr>
        <w:pStyle w:val="Paragraphedeliste"/>
        <w:numPr>
          <w:ilvl w:val="0"/>
          <w:numId w:val="1"/>
        </w:numPr>
        <w:spacing w:line="200" w:lineRule="exact"/>
        <w:jc w:val="both"/>
      </w:pPr>
      <w:r>
        <w:rPr>
          <w:rStyle w:val="Marquedecommentaire"/>
          <w:rFonts w:ascii="Times New Roman" w:hAnsi="Times New Roman" w:cs="Times New Roman"/>
          <w:color w:val="242021"/>
          <w:sz w:val="20"/>
          <w:szCs w:val="20"/>
        </w:rPr>
        <w:t>Travailleurs transfrontaliers entre la France et le Royaume-Uni.</w:t>
      </w:r>
    </w:p>
    <w:p w:rsidR="00AB724D" w:rsidRDefault="00367792">
      <w:pPr>
        <w:spacing w:line="200" w:lineRule="exact"/>
        <w:ind w:left="720"/>
        <w:jc w:val="both"/>
      </w:pPr>
      <w:r>
        <w:rPr>
          <w:rStyle w:val="Marquedecommentaire"/>
          <w:rFonts w:ascii="Times New Roman" w:hAnsi="Times New Roman" w:cs="Times New Roman"/>
          <w:color w:val="242021"/>
          <w:sz w:val="20"/>
          <w:szCs w:val="20"/>
        </w:rPr>
        <w:t>Pièce exigible : attestation de l’employeur</w:t>
      </w:r>
    </w:p>
    <w:sectPr w:rsidR="00AB724D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ianne-Bold">
    <w:altName w:val="Times New Roman"/>
    <w:panose1 w:val="02000000000000000000"/>
    <w:charset w:val="01"/>
    <w:family w:val="roman"/>
    <w:pitch w:val="variable"/>
  </w:font>
  <w:font w:name="Marianne-Light">
    <w:panose1 w:val="02000000000000000000"/>
    <w:charset w:val="01"/>
    <w:family w:val="roman"/>
    <w:pitch w:val="variable"/>
  </w:font>
  <w:font w:name="Marianne-Regular">
    <w:panose1 w:val="02000000000000000000"/>
    <w:charset w:val="01"/>
    <w:family w:val="roman"/>
    <w:pitch w:val="variable"/>
  </w:font>
  <w:font w:name="Marianne-Thin">
    <w:panose1 w:val="02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293"/>
    <w:multiLevelType w:val="multilevel"/>
    <w:tmpl w:val="E0ACE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84D73"/>
    <w:multiLevelType w:val="multilevel"/>
    <w:tmpl w:val="1714B6C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4D"/>
    <w:rsid w:val="00367792"/>
    <w:rsid w:val="003C1756"/>
    <w:rsid w:val="00626246"/>
    <w:rsid w:val="00A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7A569-99D3-4883-A595-14814AE6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8A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qFormat/>
    <w:rsid w:val="009F428A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Policepardfaut"/>
    <w:qFormat/>
    <w:rsid w:val="009F428A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Policepardfaut"/>
    <w:qFormat/>
    <w:rsid w:val="009F428A"/>
    <w:rPr>
      <w:rFonts w:ascii="Marianne-Regular" w:hAnsi="Marianne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Policepardfaut"/>
    <w:qFormat/>
    <w:rsid w:val="009F428A"/>
    <w:rPr>
      <w:rFonts w:ascii="Marianne-Thin" w:hAnsi="Marianne-Thin"/>
      <w:b w:val="0"/>
      <w:bCs w:val="0"/>
      <w:i w:val="0"/>
      <w:iCs w:val="0"/>
      <w:color w:val="242021"/>
      <w:sz w:val="18"/>
      <w:szCs w:val="18"/>
    </w:rPr>
  </w:style>
  <w:style w:type="character" w:customStyle="1" w:styleId="Aucun">
    <w:name w:val="Aucun"/>
    <w:qFormat/>
    <w:rsid w:val="009F428A"/>
    <w:rPr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46A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D28CE"/>
    <w:rPr>
      <w:color w:val="00000A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D28CE"/>
    <w:rPr>
      <w:b/>
      <w:bCs/>
      <w:color w:val="00000A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E3ABD"/>
    <w:rPr>
      <w:rFonts w:ascii="Calibri" w:eastAsia="Calibri" w:hAnsi="Calibri"/>
      <w:color w:val="00000A"/>
      <w:szCs w:val="20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EE3ABD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z0">
    <w:name w:val="WW8Num1z0"/>
    <w:qFormat/>
    <w:rPr>
      <w:rFonts w:ascii="Calibri" w:eastAsia="Calibri" w:hAnsi="Calibri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Standard">
    <w:name w:val="Standard"/>
    <w:qFormat/>
    <w:rsid w:val="009F428A"/>
    <w:pPr>
      <w:textAlignment w:val="baseline"/>
    </w:pPr>
    <w:rPr>
      <w:rFonts w:ascii="Calibri" w:eastAsia="SimSun" w:hAnsi="Calibri" w:cs="Tahoma"/>
      <w:color w:val="00000A"/>
      <w:kern w:val="2"/>
      <w:sz w:val="22"/>
    </w:rPr>
  </w:style>
  <w:style w:type="paragraph" w:styleId="NormalWeb">
    <w:name w:val="Normal (Web)"/>
    <w:basedOn w:val="Normal"/>
    <w:uiPriority w:val="99"/>
    <w:unhideWhenUsed/>
    <w:qFormat/>
    <w:rsid w:val="009F428A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46A2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0406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FD28C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D28C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EE3ABD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39A6-9D7D-4E93-B6A1-AC437402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PIMONT Matthieu</dc:creator>
  <dc:description/>
  <cp:lastModifiedBy>HY Gaetan</cp:lastModifiedBy>
  <cp:revision>2</cp:revision>
  <dcterms:created xsi:type="dcterms:W3CDTF">2021-02-23T15:09:00Z</dcterms:created>
  <dcterms:modified xsi:type="dcterms:W3CDTF">2021-02-23T15:09:00Z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